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EF4" w:rsidRDefault="001C5D0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36EF4" w:rsidRDefault="001C5D0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1.012885</w:t>
      </w:r>
    </w:p>
    <w:p w:rsidR="00E36EF4" w:rsidRDefault="001C5D0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E36EF4" w:rsidRDefault="001C5D0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Chấp thuận chủ trương đầu tư đồng thời với chấp thuận nhà đầu tư làm chủ đầu tư đối với dự án cải tạo, xây dựng lại nhà chung cư không bằng nguồn vốn đầu tư công</w:t>
      </w:r>
    </w:p>
    <w:p w:rsidR="00E36EF4" w:rsidRDefault="001C5D0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E36EF4" w:rsidRDefault="001C5D0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36EF4" w:rsidRDefault="001C5D0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E36EF4" w:rsidRDefault="001C5D02">
      <w:pPr>
        <w:spacing w:after="0" w:line="276" w:lineRule="auto"/>
        <w:jc w:val="both"/>
      </w:pPr>
      <w:r>
        <w:rPr>
          <w:rFonts w:ascii="Times New Roman" w:eastAsia="Times New Roman" w:hAnsi="Times New Roman" w:cs="Times New Roman"/>
          <w:b/>
          <w:sz w:val="26"/>
        </w:rPr>
        <w:t xml:space="preserve">Trình tự thực hiện: </w:t>
      </w:r>
    </w:p>
    <w:p w:rsidR="00E36EF4" w:rsidRDefault="00E36EF4">
      <w:pPr>
        <w:shd w:val="clear" w:color="auto" w:fill="F2F6F9"/>
        <w:spacing w:before="120" w:after="0" w:line="276" w:lineRule="auto"/>
        <w:jc w:val="both"/>
      </w:pPr>
    </w:p>
    <w:p w:rsidR="00E36EF4" w:rsidRDefault="001C5D02">
      <w:pPr>
        <w:spacing w:after="0" w:line="276" w:lineRule="auto"/>
        <w:jc w:val="both"/>
      </w:pPr>
      <w:r>
        <w:rPr>
          <w:rFonts w:ascii="Times New Roman" w:eastAsia="Times New Roman" w:hAnsi="Times New Roman" w:cs="Times New Roman"/>
          <w:sz w:val="26"/>
        </w:rPr>
        <w:t>- Nhà đầu tư  tham gia cải tạo, xây dựng lại nhà chung cư gửi 08 bộ hồ sơ đến Trung tâm Hành chính công của UBND cấp tỉnh hoặc Bộ p</w:t>
      </w:r>
      <w:r>
        <w:rPr>
          <w:rFonts w:ascii="Times New Roman" w:eastAsia="Times New Roman" w:hAnsi="Times New Roman" w:cs="Times New Roman"/>
          <w:sz w:val="26"/>
        </w:rPr>
        <w:t>hận tiếp nhận và trả kết quả giải quyết TTHC</w:t>
      </w:r>
    </w:p>
    <w:p w:rsidR="00E36EF4" w:rsidRDefault="001C5D02">
      <w:pPr>
        <w:spacing w:after="0" w:line="276" w:lineRule="auto"/>
        <w:jc w:val="both"/>
      </w:pPr>
      <w:r>
        <w:rPr>
          <w:rFonts w:ascii="Times New Roman" w:eastAsia="Times New Roman" w:hAnsi="Times New Roman" w:cs="Times New Roman"/>
          <w:sz w:val="26"/>
        </w:rPr>
        <w:t>- Trong thời hạn tối đa 03 ngày làm việc, kể từ ngày nhận được hồ sơ theo quy định, Sở Xây dựng gửi lấy ý kiến thẩm định các nội dung quy định tại khoản 1 Điều 12 của Nghị định số 98/2024/NĐ-CP đến các cơ quan l</w:t>
      </w:r>
      <w:r>
        <w:rPr>
          <w:rFonts w:ascii="Times New Roman" w:eastAsia="Times New Roman" w:hAnsi="Times New Roman" w:cs="Times New Roman"/>
          <w:sz w:val="26"/>
        </w:rPr>
        <w:t>iên quan cấp tỉnh, gồm: kế hoạch và đầu tư, tài nguyên và môi trường, tài chính, quy hoạch - kiến trúc (nếu có), giao thông - vận tải, công an, quốc phòng, cơ quan thuế, Ủy ban nhân dân cấp huyện nơi có dự án và cơ quan liên quan khác của địa phương theo y</w:t>
      </w:r>
      <w:r>
        <w:rPr>
          <w:rFonts w:ascii="Times New Roman" w:eastAsia="Times New Roman" w:hAnsi="Times New Roman" w:cs="Times New Roman"/>
          <w:sz w:val="26"/>
        </w:rPr>
        <w:t>êu cầu của Ủy ban nhân dân cấp tỉnh.</w:t>
      </w:r>
    </w:p>
    <w:p w:rsidR="00E36EF4" w:rsidRDefault="001C5D02">
      <w:pPr>
        <w:spacing w:after="0" w:line="276" w:lineRule="auto"/>
        <w:jc w:val="both"/>
      </w:pPr>
      <w:r>
        <w:rPr>
          <w:rFonts w:ascii="Times New Roman" w:eastAsia="Times New Roman" w:hAnsi="Times New Roman" w:cs="Times New Roman"/>
          <w:sz w:val="26"/>
        </w:rPr>
        <w:t>Trong văn bản đề nghị lấy ý kiến thẩm định, Sở Xây dựng phải nêu rõ các nội dung đề nghị thẩm định của từng cơ quan quy định tại điểm điểm b khoản 1 Điều 11 của Nghị định số 98/2024/NĐ-CP;</w:t>
      </w:r>
    </w:p>
    <w:p w:rsidR="00E36EF4" w:rsidRDefault="001C5D02">
      <w:pPr>
        <w:spacing w:after="0" w:line="276" w:lineRule="auto"/>
        <w:jc w:val="both"/>
      </w:pPr>
      <w:r>
        <w:rPr>
          <w:rFonts w:ascii="Times New Roman" w:eastAsia="Times New Roman" w:hAnsi="Times New Roman" w:cs="Times New Roman"/>
          <w:sz w:val="26"/>
        </w:rPr>
        <w:t>- Trong thời hạn tối đa 15 ngà</w:t>
      </w:r>
      <w:r>
        <w:rPr>
          <w:rFonts w:ascii="Times New Roman" w:eastAsia="Times New Roman" w:hAnsi="Times New Roman" w:cs="Times New Roman"/>
          <w:sz w:val="26"/>
        </w:rPr>
        <w:t>y, kể từ ngày nhận được văn bản đề nghị có ý kiến quy định tại điểm b khoản 1 Điều 11 của Nghị định số 98/2024/NĐ-CP, cơ quan được lấy ý kiến phải có văn bản trả lời đối với các nội dung được đề nghị thẩm định và gửi cho Sở Xây dựng để tổng hợp, báo cáo Ủy</w:t>
      </w:r>
      <w:r>
        <w:rPr>
          <w:rFonts w:ascii="Times New Roman" w:eastAsia="Times New Roman" w:hAnsi="Times New Roman" w:cs="Times New Roman"/>
          <w:sz w:val="26"/>
        </w:rPr>
        <w:t xml:space="preserve"> ban nhân dân cấp tỉnh;</w:t>
      </w:r>
    </w:p>
    <w:p w:rsidR="00E36EF4" w:rsidRDefault="001C5D02">
      <w:pPr>
        <w:spacing w:after="0" w:line="276" w:lineRule="auto"/>
        <w:jc w:val="both"/>
      </w:pPr>
      <w:r>
        <w:rPr>
          <w:rFonts w:ascii="Times New Roman" w:eastAsia="Times New Roman" w:hAnsi="Times New Roman" w:cs="Times New Roman"/>
          <w:sz w:val="26"/>
        </w:rPr>
        <w:t>- Trong thời hạn tối đa 10 ngày, kể từ ngày nhận được ý kiến thẩm định theo quy định tại điểm c khoản 1 Điều 11 của Nghị định số 98/2024/NĐ-CP, Sở Xây dựng tổng hợp, lập báo cáo thẩm định trình Ủy ban nhân dân cấp tỉnh xem xét, chấp</w:t>
      </w:r>
      <w:r>
        <w:rPr>
          <w:rFonts w:ascii="Times New Roman" w:eastAsia="Times New Roman" w:hAnsi="Times New Roman" w:cs="Times New Roman"/>
          <w:sz w:val="26"/>
        </w:rPr>
        <w:t xml:space="preserve"> thuận chủ trương đầu tư theo nội dung quy định tại Điều 13 của Nghị định số 98/2024/NĐ-CP.</w:t>
      </w:r>
    </w:p>
    <w:p w:rsidR="00E36EF4" w:rsidRDefault="001C5D02">
      <w:pPr>
        <w:spacing w:after="0" w:line="276" w:lineRule="auto"/>
        <w:jc w:val="both"/>
      </w:pPr>
      <w:r>
        <w:rPr>
          <w:rFonts w:ascii="Times New Roman" w:eastAsia="Times New Roman" w:hAnsi="Times New Roman" w:cs="Times New Roman"/>
          <w:sz w:val="26"/>
        </w:rPr>
        <w:t>Trường hợp hồ sơ đề nghị chấp thuận chủ trương đầu tư không đủ điều kiện trình Ủy ban nhân dân cấp tỉnh thì Sở Xây dựng phải có văn bản trả lời nêu rõ lý do gửi nhà</w:t>
      </w:r>
      <w:r>
        <w:rPr>
          <w:rFonts w:ascii="Times New Roman" w:eastAsia="Times New Roman" w:hAnsi="Times New Roman" w:cs="Times New Roman"/>
          <w:sz w:val="26"/>
        </w:rPr>
        <w:t xml:space="preserve"> đầu tư;</w:t>
      </w:r>
    </w:p>
    <w:p w:rsidR="00E36EF4" w:rsidRDefault="001C5D02">
      <w:pPr>
        <w:spacing w:after="0" w:line="276" w:lineRule="auto"/>
        <w:jc w:val="both"/>
      </w:pPr>
      <w:r>
        <w:rPr>
          <w:rFonts w:ascii="Times New Roman" w:eastAsia="Times New Roman" w:hAnsi="Times New Roman" w:cs="Times New Roman"/>
          <w:sz w:val="26"/>
        </w:rPr>
        <w:t>- Trong thời hạn tối đa 07 ngày làm việc, kể từ ngày nhận được báo cáo thẩm định của Sở Xây dựng quy định tại điểm d khoản 1 Điều 11 của Nghị định số 98/2024/NĐ-CP kèm theo hồ sơ đề nghị của nhà đầu tư, Ủy ban nhân dân cấp tỉnh xem xét, chấp thuận</w:t>
      </w:r>
      <w:r>
        <w:rPr>
          <w:rFonts w:ascii="Times New Roman" w:eastAsia="Times New Roman" w:hAnsi="Times New Roman" w:cs="Times New Roman"/>
          <w:sz w:val="26"/>
        </w:rPr>
        <w:t xml:space="preserve"> chủ trương đầu tư đồng thời với chấp thuận nhà đầu tư làm chủ đầu tư dự án cải tạo, xây dựng </w:t>
      </w:r>
      <w:r>
        <w:rPr>
          <w:rFonts w:ascii="Times New Roman" w:eastAsia="Times New Roman" w:hAnsi="Times New Roman" w:cs="Times New Roman"/>
          <w:sz w:val="26"/>
        </w:rPr>
        <w:lastRenderedPageBreak/>
        <w:t>lại nhà chung cư; trường hợp không chấp thuận thì Ủy ban nhân dân cấp tỉnh phải có văn bản thông báo rõ lý do gửi nhà đầu tư và Sở Xây dựng.</w:t>
      </w:r>
    </w:p>
    <w:p w:rsidR="00E36EF4" w:rsidRDefault="001C5D0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76"/>
        <w:gridCol w:w="1519"/>
        <w:gridCol w:w="2548"/>
        <w:gridCol w:w="3868"/>
      </w:tblGrid>
      <w:tr w:rsidR="00E36EF4">
        <w:tblPrEx>
          <w:tblCellMar>
            <w:top w:w="0" w:type="dxa"/>
            <w:bottom w:w="0" w:type="dxa"/>
          </w:tblCellMar>
        </w:tblPrEx>
        <w:tc>
          <w:tcPr>
            <w:tcW w:w="1500" w:type="dxa"/>
          </w:tcPr>
          <w:p w:rsidR="00E36EF4" w:rsidRDefault="00E36EF4"/>
          <w:p w:rsidR="00E36EF4" w:rsidRDefault="001C5D02">
            <w:pPr>
              <w:spacing w:after="0" w:line="276" w:lineRule="auto"/>
              <w:jc w:val="center"/>
            </w:pPr>
            <w:r>
              <w:rPr>
                <w:rFonts w:ascii="Times New Roman" w:eastAsia="Times New Roman" w:hAnsi="Times New Roman" w:cs="Times New Roman"/>
                <w:b/>
                <w:sz w:val="26"/>
              </w:rPr>
              <w:t>Hình thức nộp</w:t>
            </w:r>
          </w:p>
        </w:tc>
        <w:tc>
          <w:tcPr>
            <w:tcW w:w="2000" w:type="dxa"/>
          </w:tcPr>
          <w:p w:rsidR="00E36EF4" w:rsidRDefault="00E36EF4"/>
          <w:p w:rsidR="00E36EF4" w:rsidRDefault="001C5D0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36EF4" w:rsidRDefault="00E36EF4"/>
          <w:p w:rsidR="00E36EF4" w:rsidRDefault="001C5D02">
            <w:pPr>
              <w:spacing w:after="0" w:line="276" w:lineRule="auto"/>
              <w:jc w:val="center"/>
            </w:pPr>
            <w:r>
              <w:rPr>
                <w:rFonts w:ascii="Times New Roman" w:eastAsia="Times New Roman" w:hAnsi="Times New Roman" w:cs="Times New Roman"/>
                <w:b/>
                <w:sz w:val="26"/>
              </w:rPr>
              <w:t>Phí, lệ phí</w:t>
            </w:r>
          </w:p>
        </w:tc>
        <w:tc>
          <w:tcPr>
            <w:tcW w:w="3000" w:type="dxa"/>
          </w:tcPr>
          <w:p w:rsidR="00E36EF4" w:rsidRDefault="00E36EF4"/>
          <w:p w:rsidR="00E36EF4" w:rsidRDefault="001C5D02">
            <w:pPr>
              <w:spacing w:after="0" w:line="276" w:lineRule="auto"/>
              <w:jc w:val="center"/>
            </w:pPr>
            <w:r>
              <w:rPr>
                <w:rFonts w:ascii="Times New Roman" w:eastAsia="Times New Roman" w:hAnsi="Times New Roman" w:cs="Times New Roman"/>
                <w:b/>
                <w:sz w:val="26"/>
              </w:rPr>
              <w:t>Mô tả</w:t>
            </w:r>
          </w:p>
        </w:tc>
      </w:tr>
      <w:tr w:rsidR="00E36EF4">
        <w:tblPrEx>
          <w:tblCellMar>
            <w:top w:w="0" w:type="dxa"/>
            <w:bottom w:w="0" w:type="dxa"/>
          </w:tblCellMar>
        </w:tblPrEx>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Trực tiếp</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35 Ngày</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Phí : 0 Đồng (Không quy định.)</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Không quá 35 ngày, kể từ ngày nhận đủ hồ sơ hợp lệ.</w:t>
            </w:r>
          </w:p>
        </w:tc>
      </w:tr>
      <w:tr w:rsidR="00E36EF4">
        <w:tblPrEx>
          <w:tblCellMar>
            <w:top w:w="0" w:type="dxa"/>
            <w:bottom w:w="0" w:type="dxa"/>
          </w:tblCellMar>
        </w:tblPrEx>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Trực tuyến</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35 Ngày</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Phí : 0 Đồng (Không quy định.)</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 xml:space="preserve">không quá 35 ngày, kể từ ngày nhận đủ </w:t>
            </w:r>
            <w:r>
              <w:rPr>
                <w:rFonts w:ascii="Times New Roman" w:eastAsia="Times New Roman" w:hAnsi="Times New Roman" w:cs="Times New Roman"/>
                <w:sz w:val="26"/>
              </w:rPr>
              <w:t>hồ sơ hợp lệ.</w:t>
            </w:r>
          </w:p>
        </w:tc>
      </w:tr>
      <w:tr w:rsidR="00E36EF4">
        <w:tblPrEx>
          <w:tblCellMar>
            <w:top w:w="0" w:type="dxa"/>
            <w:bottom w:w="0" w:type="dxa"/>
          </w:tblCellMar>
        </w:tblPrEx>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Dịch vụ bưu chính</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35 Ngày</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Phí : 0 Đồng (Không quy định.)</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không quá 35 ngày, kể từ ngày nhận đủ hồ sơ hợp lệ.</w:t>
            </w:r>
          </w:p>
        </w:tc>
      </w:tr>
    </w:tbl>
    <w:p w:rsidR="00E36EF4" w:rsidRDefault="001C5D02">
      <w:pPr>
        <w:spacing w:before="240" w:after="0" w:line="276" w:lineRule="auto"/>
        <w:jc w:val="both"/>
      </w:pPr>
      <w:r>
        <w:rPr>
          <w:rFonts w:ascii="Times New Roman" w:eastAsia="Times New Roman" w:hAnsi="Times New Roman" w:cs="Times New Roman"/>
          <w:b/>
          <w:sz w:val="26"/>
        </w:rPr>
        <w:t xml:space="preserve">Thành phần hồ sơ: </w:t>
      </w:r>
    </w:p>
    <w:p w:rsidR="00E36EF4" w:rsidRDefault="001C5D0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92"/>
        <w:gridCol w:w="1712"/>
        <w:gridCol w:w="907"/>
      </w:tblGrid>
      <w:tr w:rsidR="00E36EF4">
        <w:tblPrEx>
          <w:tblCellMar>
            <w:top w:w="0" w:type="dxa"/>
            <w:bottom w:w="0" w:type="dxa"/>
          </w:tblCellMar>
        </w:tblPrEx>
        <w:tc>
          <w:tcPr>
            <w:tcW w:w="6000" w:type="dxa"/>
          </w:tcPr>
          <w:p w:rsidR="00E36EF4" w:rsidRDefault="00E36EF4"/>
          <w:p w:rsidR="00E36EF4" w:rsidRDefault="001C5D02">
            <w:pPr>
              <w:spacing w:after="0" w:line="276" w:lineRule="auto"/>
              <w:jc w:val="center"/>
            </w:pPr>
            <w:r>
              <w:rPr>
                <w:rFonts w:ascii="Times New Roman" w:eastAsia="Times New Roman" w:hAnsi="Times New Roman" w:cs="Times New Roman"/>
                <w:b/>
                <w:sz w:val="26"/>
              </w:rPr>
              <w:t>Tên giấy tờ</w:t>
            </w:r>
          </w:p>
        </w:tc>
        <w:tc>
          <w:tcPr>
            <w:tcW w:w="2000" w:type="dxa"/>
          </w:tcPr>
          <w:p w:rsidR="00E36EF4" w:rsidRDefault="00E36EF4"/>
          <w:p w:rsidR="00E36EF4" w:rsidRDefault="001C5D02">
            <w:pPr>
              <w:spacing w:after="0" w:line="276" w:lineRule="auto"/>
              <w:jc w:val="center"/>
            </w:pPr>
            <w:r>
              <w:rPr>
                <w:rFonts w:ascii="Times New Roman" w:eastAsia="Times New Roman" w:hAnsi="Times New Roman" w:cs="Times New Roman"/>
                <w:b/>
                <w:sz w:val="26"/>
              </w:rPr>
              <w:t>Mẫu đơn, tờ khai</w:t>
            </w:r>
          </w:p>
        </w:tc>
        <w:tc>
          <w:tcPr>
            <w:tcW w:w="2000" w:type="dxa"/>
          </w:tcPr>
          <w:p w:rsidR="00E36EF4" w:rsidRDefault="00E36EF4"/>
          <w:p w:rsidR="00E36EF4" w:rsidRDefault="001C5D02">
            <w:pPr>
              <w:spacing w:after="0" w:line="276" w:lineRule="auto"/>
              <w:jc w:val="center"/>
            </w:pPr>
            <w:r>
              <w:rPr>
                <w:rFonts w:ascii="Times New Roman" w:eastAsia="Times New Roman" w:hAnsi="Times New Roman" w:cs="Times New Roman"/>
                <w:b/>
                <w:sz w:val="26"/>
              </w:rPr>
              <w:t>Số lượng</w:t>
            </w:r>
          </w:p>
        </w:tc>
      </w:tr>
      <w:tr w:rsidR="00E36EF4">
        <w:tblPrEx>
          <w:tblCellMar>
            <w:top w:w="0" w:type="dxa"/>
            <w:bottom w:w="0" w:type="dxa"/>
          </w:tblCellMar>
        </w:tblPrEx>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 Văn bản đề nghị chấp thuận chủ trương đầu tư dự án theo</w:t>
            </w:r>
            <w:r>
              <w:rPr>
                <w:rFonts w:ascii="Times New Roman" w:eastAsia="Times New Roman" w:hAnsi="Times New Roman" w:cs="Times New Roman"/>
                <w:sz w:val="26"/>
              </w:rPr>
              <w:t xml:space="preserve"> Mẫu số 01 quy định tại Phụ lục ban hành kèm theo Nghị định số 98/2024/NĐ-CP;</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Mẫu văn bản đề nghị chấp thuận chủ trương đầu tư.docx</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36EF4">
        <w:tblPrEx>
          <w:tblCellMar>
            <w:top w:w="0" w:type="dxa"/>
            <w:bottom w:w="0" w:type="dxa"/>
          </w:tblCellMar>
        </w:tblPrEx>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 Đề xuất dự án đầu tư bao gồm các nội dung quy định tại điểm b khoản 1 Điều 69 của Luật Nhà ở v</w:t>
            </w:r>
            <w:r>
              <w:rPr>
                <w:rFonts w:ascii="Times New Roman" w:eastAsia="Times New Roman" w:hAnsi="Times New Roman" w:cs="Times New Roman"/>
                <w:sz w:val="26"/>
              </w:rPr>
              <w:t>à hiệu quả đầu tư kinh tế - xã hội của dự án;</w:t>
            </w:r>
          </w:p>
        </w:tc>
        <w:tc>
          <w:tcPr>
            <w:tcW w:w="0" w:type="auto"/>
          </w:tcPr>
          <w:p w:rsidR="00E36EF4" w:rsidRDefault="00E36EF4"/>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36EF4">
        <w:tblPrEx>
          <w:tblCellMar>
            <w:top w:w="0" w:type="dxa"/>
            <w:bottom w:w="0" w:type="dxa"/>
          </w:tblCellMar>
        </w:tblPrEx>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 xml:space="preserve">- Phương án bồi thường, hỗ trợ, tái định cư và bố trí chỗ ở tạm thời, bố trí tái định cư (sau đây gọi chung là phương án bồi thường, tái định cư) đã được các chủ sở hữu nhà chung cư </w:t>
            </w:r>
            <w:r>
              <w:rPr>
                <w:rFonts w:ascii="Times New Roman" w:eastAsia="Times New Roman" w:hAnsi="Times New Roman" w:cs="Times New Roman"/>
                <w:sz w:val="26"/>
              </w:rPr>
              <w:t xml:space="preserve">thống nhất với nhà đầu tư trên cơ sở kế hoạch cải tạo, xây dựng lại nhà </w:t>
            </w:r>
            <w:r>
              <w:rPr>
                <w:rFonts w:ascii="Times New Roman" w:eastAsia="Times New Roman" w:hAnsi="Times New Roman" w:cs="Times New Roman"/>
                <w:sz w:val="26"/>
              </w:rPr>
              <w:lastRenderedPageBreak/>
              <w:t>chung cư đã được Ủy ban nhân dân cấp tỉnh phê duyệt;</w:t>
            </w:r>
          </w:p>
        </w:tc>
        <w:tc>
          <w:tcPr>
            <w:tcW w:w="0" w:type="auto"/>
          </w:tcPr>
          <w:p w:rsidR="00E36EF4" w:rsidRDefault="00E36EF4"/>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36EF4">
        <w:tblPrEx>
          <w:tblCellMar>
            <w:top w:w="0" w:type="dxa"/>
            <w:bottom w:w="0" w:type="dxa"/>
          </w:tblCellMar>
        </w:tblPrEx>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 Bản sao và xuất trình bản chính để đối chiếu hoặc bản sao được chứng thực hoặc bản sao điện tử có giá</w:t>
            </w:r>
            <w:r>
              <w:rPr>
                <w:rFonts w:ascii="Times New Roman" w:eastAsia="Times New Roman" w:hAnsi="Times New Roman" w:cs="Times New Roman"/>
                <w:sz w:val="26"/>
              </w:rPr>
              <w:t xml:space="preserve"> trị pháp lý  giấy tờ sau: Giấy chứng nhận đăng ký doanh nghiệp, giấy tờ chứng minh việc thành lập, quyết định thành lập hoặc các giấy tờ khác có giá trị pháp lý tương đương; báo cáo tài chính 02 năm liền kề với năm đăng ký tham gia làm chủ đầu tư đã được </w:t>
            </w:r>
            <w:r>
              <w:rPr>
                <w:rFonts w:ascii="Times New Roman" w:eastAsia="Times New Roman" w:hAnsi="Times New Roman" w:cs="Times New Roman"/>
                <w:sz w:val="26"/>
              </w:rPr>
              <w:t>cơ quan kiểm toán độc lập kiểm toán; cam kết hỗ trợ tài chính của công ty mẹ (nếu có); cam kết hỗ trợ tài chính của tổ chức tài chính hoặc tài liệu khác chứng minh năng lực tài chính; giấy tờ chứng minh về vốn chủ sở hữu để thực hiện dự án theo quy định củ</w:t>
            </w:r>
            <w:r>
              <w:rPr>
                <w:rFonts w:ascii="Times New Roman" w:eastAsia="Times New Roman" w:hAnsi="Times New Roman" w:cs="Times New Roman"/>
                <w:sz w:val="26"/>
              </w:rPr>
              <w:t>a pháp luật kinh doanh bất động sản;</w:t>
            </w:r>
          </w:p>
        </w:tc>
        <w:tc>
          <w:tcPr>
            <w:tcW w:w="0" w:type="auto"/>
          </w:tcPr>
          <w:p w:rsidR="00E36EF4" w:rsidRDefault="00E36EF4"/>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36EF4">
        <w:tblPrEx>
          <w:tblCellMar>
            <w:top w:w="0" w:type="dxa"/>
            <w:bottom w:w="0" w:type="dxa"/>
          </w:tblCellMar>
        </w:tblPrEx>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Đối với trường hợp thỏa thuận chuyển nhượng quyền sử dụng đất để thực hiện dự án cải tạo, xây dựng lại nhà chung cư theo quy định tại Điều 16 của Nghị định số 98/2024/NĐ-CP thì ngoài các giấy</w:t>
            </w:r>
            <w:r>
              <w:rPr>
                <w:rFonts w:ascii="Times New Roman" w:eastAsia="Times New Roman" w:hAnsi="Times New Roman" w:cs="Times New Roman"/>
                <w:sz w:val="26"/>
              </w:rPr>
              <w:t xml:space="preserve"> tờ quy định tại các điểm a, b, c và d khoản 1 Điều 10 của Nghị định số 98/2024/NĐ-CP, nhà đầu tư phải có bản gốc văn bản thỏa thuận chuyển nhượng quyền sử dụng đất theo Mẫu số 07 quy định tại Phụ lục ban hành kèm theo Nghị định số 98/2024/NĐ-CP và kèm the</w:t>
            </w:r>
            <w:r>
              <w:rPr>
                <w:rFonts w:ascii="Times New Roman" w:eastAsia="Times New Roman" w:hAnsi="Times New Roman" w:cs="Times New Roman"/>
                <w:sz w:val="26"/>
              </w:rPr>
              <w:t>o bản sao có công chứng hoặc chứng thực giấy tờ chứng minh quyền sử dụng đất, quyền sở hữu tài sản gắn liền với đất qua các thời kỳ theo quy định của pháp luật đất đai, pháp luật nhà ở của các chủ sở hữu nhà chung cư.</w:t>
            </w:r>
          </w:p>
        </w:tc>
        <w:tc>
          <w:tcPr>
            <w:tcW w:w="0" w:type="auto"/>
          </w:tcPr>
          <w:p w:rsidR="00E36EF4" w:rsidRDefault="00E36EF4"/>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36EF4" w:rsidRDefault="001C5D0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Cán bộ, công chức, viên chức</w:t>
      </w:r>
    </w:p>
    <w:p w:rsidR="00E36EF4" w:rsidRDefault="001C5D0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E36EF4" w:rsidRDefault="001C5D0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tỉnh</w:t>
      </w:r>
    </w:p>
    <w:p w:rsidR="00E36EF4" w:rsidRDefault="001C5D0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Trung tâm phục vụ </w:t>
      </w:r>
      <w:r>
        <w:rPr>
          <w:rFonts w:ascii="Times New Roman" w:eastAsia="Times New Roman" w:hAnsi="Times New Roman" w:cs="Times New Roman"/>
          <w:sz w:val="26"/>
        </w:rPr>
        <w:t>hành chính công của UBND cấp tỉnh hoặc Bộ phận tiếp nhận và trả kết quả giải quyết TTHC</w:t>
      </w:r>
    </w:p>
    <w:p w:rsidR="00E36EF4" w:rsidRDefault="001C5D0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36EF4" w:rsidRDefault="001C5D0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36EF4" w:rsidRDefault="001C5D0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Văn bản chấp thuận chủ trương đầu tư đồng thời với chấp thuận nhà đầu </w:t>
      </w:r>
      <w:r>
        <w:rPr>
          <w:rFonts w:ascii="Times New Roman" w:eastAsia="Times New Roman" w:hAnsi="Times New Roman" w:cs="Times New Roman"/>
          <w:sz w:val="26"/>
        </w:rPr>
        <w:t>tư làm chủ đầu tư dự án cải tạo, xây dựng lại nhà chung cư</w:t>
      </w:r>
    </w:p>
    <w:p w:rsidR="00E36EF4" w:rsidRDefault="001C5D02">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36EF4">
        <w:tblPrEx>
          <w:tblCellMar>
            <w:top w:w="0" w:type="dxa"/>
            <w:bottom w:w="0" w:type="dxa"/>
          </w:tblCellMar>
        </w:tblPrEx>
        <w:tc>
          <w:tcPr>
            <w:tcW w:w="2000" w:type="dxa"/>
          </w:tcPr>
          <w:p w:rsidR="00E36EF4" w:rsidRDefault="00E36EF4"/>
          <w:p w:rsidR="00E36EF4" w:rsidRDefault="001C5D02">
            <w:pPr>
              <w:spacing w:after="0" w:line="276" w:lineRule="auto"/>
              <w:jc w:val="center"/>
            </w:pPr>
            <w:r>
              <w:rPr>
                <w:rFonts w:ascii="Times New Roman" w:eastAsia="Times New Roman" w:hAnsi="Times New Roman" w:cs="Times New Roman"/>
                <w:b/>
                <w:sz w:val="26"/>
              </w:rPr>
              <w:t>Số ký hiệu</w:t>
            </w:r>
          </w:p>
        </w:tc>
        <w:tc>
          <w:tcPr>
            <w:tcW w:w="3500" w:type="dxa"/>
          </w:tcPr>
          <w:p w:rsidR="00E36EF4" w:rsidRDefault="00E36EF4"/>
          <w:p w:rsidR="00E36EF4" w:rsidRDefault="001C5D02">
            <w:pPr>
              <w:spacing w:after="0" w:line="276" w:lineRule="auto"/>
              <w:jc w:val="center"/>
            </w:pPr>
            <w:r>
              <w:rPr>
                <w:rFonts w:ascii="Times New Roman" w:eastAsia="Times New Roman" w:hAnsi="Times New Roman" w:cs="Times New Roman"/>
                <w:b/>
                <w:sz w:val="26"/>
              </w:rPr>
              <w:t>Trích yếu</w:t>
            </w:r>
          </w:p>
        </w:tc>
        <w:tc>
          <w:tcPr>
            <w:tcW w:w="1500" w:type="dxa"/>
          </w:tcPr>
          <w:p w:rsidR="00E36EF4" w:rsidRDefault="00E36EF4"/>
          <w:p w:rsidR="00E36EF4" w:rsidRDefault="001C5D02">
            <w:pPr>
              <w:spacing w:after="0" w:line="276" w:lineRule="auto"/>
              <w:jc w:val="center"/>
            </w:pPr>
            <w:r>
              <w:rPr>
                <w:rFonts w:ascii="Times New Roman" w:eastAsia="Times New Roman" w:hAnsi="Times New Roman" w:cs="Times New Roman"/>
                <w:b/>
                <w:sz w:val="26"/>
              </w:rPr>
              <w:t>Ngày ban hành</w:t>
            </w:r>
          </w:p>
        </w:tc>
        <w:tc>
          <w:tcPr>
            <w:tcW w:w="3000" w:type="dxa"/>
          </w:tcPr>
          <w:p w:rsidR="00E36EF4" w:rsidRDefault="00E36EF4"/>
          <w:p w:rsidR="00E36EF4" w:rsidRDefault="001C5D02">
            <w:pPr>
              <w:spacing w:after="0" w:line="276" w:lineRule="auto"/>
              <w:jc w:val="center"/>
            </w:pPr>
            <w:r>
              <w:rPr>
                <w:rFonts w:ascii="Times New Roman" w:eastAsia="Times New Roman" w:hAnsi="Times New Roman" w:cs="Times New Roman"/>
                <w:b/>
                <w:sz w:val="26"/>
              </w:rPr>
              <w:t>Cơ quan ban hành</w:t>
            </w:r>
          </w:p>
        </w:tc>
      </w:tr>
      <w:tr w:rsidR="00E36EF4">
        <w:tblPrEx>
          <w:tblCellMar>
            <w:top w:w="0" w:type="dxa"/>
            <w:bottom w:w="0" w:type="dxa"/>
          </w:tblCellMar>
        </w:tblPrEx>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27/2023/QH15</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Luật Nhà ở số 27/2023/QH15</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27-11-2023</w:t>
            </w:r>
          </w:p>
        </w:tc>
        <w:tc>
          <w:tcPr>
            <w:tcW w:w="0" w:type="auto"/>
          </w:tcPr>
          <w:p w:rsidR="00E36EF4" w:rsidRDefault="00E36EF4"/>
          <w:p w:rsidR="00E36EF4" w:rsidRDefault="001C5D02">
            <w:pPr>
              <w:spacing w:after="0" w:line="276" w:lineRule="auto"/>
            </w:pPr>
            <w:r>
              <w:rPr>
                <w:rFonts w:ascii="Times New Roman" w:eastAsia="Times New Roman" w:hAnsi="Times New Roman" w:cs="Times New Roman"/>
                <w:sz w:val="26"/>
              </w:rPr>
              <w:t>Quốc Hội</w:t>
            </w:r>
          </w:p>
        </w:tc>
      </w:tr>
    </w:tbl>
    <w:p w:rsidR="00E36EF4" w:rsidRDefault="001C5D0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E36EF4" w:rsidRDefault="001C5D0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p w:rsidR="00E36EF4" w:rsidRDefault="001C5D0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36EF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36EF4"/>
    <w:rsid w:val="001C5D02"/>
    <w:rsid w:val="00E36E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E34A9B-8C50-45AC-8E94-283DF1E94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881</Words>
  <Characters>5025</Characters>
  <Application>Microsoft Office Word</Application>
  <DocSecurity>0</DocSecurity>
  <Lines>41</Lines>
  <Paragraphs>11</Paragraphs>
  <ScaleCrop>false</ScaleCrop>
  <Company>Microsoft</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